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035CC" w:rsidRPr="00DF3EBB" w:rsidRDefault="00C035CC" w:rsidP="00C035CC">
      <w:pPr>
        <w:rPr>
          <w:rFonts w:ascii="Tahoma" w:hAnsi="Tahoma" w:cs="Tahoma"/>
          <w:bCs/>
          <w:iCs/>
          <w:color w:val="3D1B0E"/>
          <w:sz w:val="24"/>
          <w:szCs w:val="24"/>
        </w:rPr>
      </w:pPr>
      <w:bookmarkStart w:id="0" w:name="_Toc5095715"/>
      <w:r w:rsidRPr="00DF3EBB">
        <w:rPr>
          <w:rFonts w:ascii="Tahoma" w:hAnsi="Tahoma" w:cs="Tahoma"/>
          <w:bCs/>
          <w:iCs/>
          <w:color w:val="3D1B0E"/>
          <w:sz w:val="24"/>
          <w:szCs w:val="24"/>
        </w:rPr>
        <w:t>Streszczenie wyników badania</w:t>
      </w:r>
      <w:r w:rsidRPr="00DF3EBB">
        <w:rPr>
          <w:rFonts w:ascii="Tahoma" w:hAnsi="Tahoma" w:cs="Tahoma"/>
          <w:b/>
          <w:bCs/>
          <w:iCs/>
          <w:color w:val="3D1B0E"/>
          <w:sz w:val="24"/>
          <w:szCs w:val="24"/>
        </w:rPr>
        <w:t xml:space="preserve"> „Badanie osiągniętych wartości wybranych wskaźników rezultatu (I etap)” </w:t>
      </w:r>
      <w:r w:rsidRPr="00DF3EBB">
        <w:rPr>
          <w:rFonts w:ascii="Tahoma" w:hAnsi="Tahoma" w:cs="Tahoma"/>
          <w:bCs/>
          <w:iCs/>
          <w:color w:val="3D1B0E"/>
          <w:sz w:val="24"/>
          <w:szCs w:val="24"/>
        </w:rPr>
        <w:t xml:space="preserve">realizowanego przez </w:t>
      </w:r>
      <w:r w:rsidR="00DF3EBB">
        <w:rPr>
          <w:rFonts w:ascii="Tahoma" w:hAnsi="Tahoma" w:cs="Tahoma"/>
          <w:bCs/>
          <w:iCs/>
          <w:color w:val="3D1B0E"/>
          <w:sz w:val="24"/>
          <w:szCs w:val="24"/>
        </w:rPr>
        <w:t xml:space="preserve">firmę </w:t>
      </w:r>
      <w:r w:rsidRPr="00DF3EBB">
        <w:rPr>
          <w:rFonts w:ascii="Tahoma" w:hAnsi="Tahoma" w:cs="Tahoma"/>
          <w:bCs/>
          <w:iCs/>
          <w:color w:val="3D1B0E"/>
          <w:sz w:val="24"/>
          <w:szCs w:val="24"/>
        </w:rPr>
        <w:t xml:space="preserve">EU-CONSULT </w:t>
      </w:r>
    </w:p>
    <w:bookmarkEnd w:id="0"/>
    <w:p w:rsidR="00C035CC" w:rsidRPr="000F4DA3" w:rsidRDefault="00C035CC" w:rsidP="00C035CC">
      <w:pPr>
        <w:pStyle w:val="Nagwek1"/>
      </w:pPr>
    </w:p>
    <w:p w:rsidR="00C035CC" w:rsidRPr="003201C8" w:rsidRDefault="00C035CC" w:rsidP="00C035CC">
      <w:pPr>
        <w:rPr>
          <w:rFonts w:asciiTheme="minorHAnsi" w:hAnsiTheme="minorHAnsi" w:cs="Calibri"/>
        </w:rPr>
      </w:pPr>
      <w:r w:rsidRPr="003201C8">
        <w:rPr>
          <w:rFonts w:asciiTheme="minorHAnsi" w:hAnsiTheme="minorHAnsi" w:cs="Calibri"/>
        </w:rPr>
        <w:t xml:space="preserve">Celem niniejszego badania było dokonanie analizy tego, w jaki sposób wsparcie z EFS przyczyniło się do zmiany sytuacji uczestników projektów, którzy </w:t>
      </w:r>
      <w:r>
        <w:rPr>
          <w:rFonts w:asciiTheme="minorHAnsi" w:hAnsiTheme="minorHAnsi" w:cs="Calibri"/>
        </w:rPr>
        <w:t>byli zatrudnieni</w:t>
      </w:r>
      <w:r w:rsidRPr="003201C8">
        <w:rPr>
          <w:rFonts w:asciiTheme="minorHAnsi" w:hAnsiTheme="minorHAnsi" w:cs="Calibri"/>
        </w:rPr>
        <w:t xml:space="preserve"> w momencie przystąpienia </w:t>
      </w:r>
      <w:r w:rsidRPr="003854D4">
        <w:rPr>
          <w:rFonts w:asciiTheme="minorHAnsi" w:hAnsiTheme="minorHAnsi" w:cs="Calibri"/>
        </w:rPr>
        <w:t xml:space="preserve">do projektu. W wyniku zrealizowanego badania oszacowano wartość wskaźnika rezultatu długoterminowego </w:t>
      </w:r>
      <w:r w:rsidRPr="003854D4">
        <w:rPr>
          <w:rFonts w:asciiTheme="minorHAnsi" w:hAnsiTheme="minorHAnsi" w:cs="Calibri"/>
          <w:iCs/>
          <w:color w:val="000000"/>
        </w:rPr>
        <w:t xml:space="preserve">„Liczba osób znajdujących się w lepszej sytuacji na rynku pracy sześć miesięcy po opuszczeniu programu”, a także dokonano oceny </w:t>
      </w:r>
      <w:r w:rsidRPr="003854D4">
        <w:rPr>
          <w:rFonts w:asciiTheme="minorHAnsi" w:hAnsiTheme="minorHAnsi" w:cs="Calibri"/>
          <w:color w:val="000000"/>
        </w:rPr>
        <w:t xml:space="preserve">wpływu wsparcia RPOWŚ 2014-2020 na zmianę sytuacji uczestników projektów. </w:t>
      </w:r>
      <w:r w:rsidRPr="003854D4">
        <w:rPr>
          <w:rFonts w:asciiTheme="minorHAnsi" w:hAnsiTheme="minorHAnsi" w:cs="Calibri"/>
        </w:rPr>
        <w:t>Ocenie poddano skuteczność,</w:t>
      </w:r>
      <w:r w:rsidRPr="003201C8">
        <w:rPr>
          <w:rFonts w:asciiTheme="minorHAnsi" w:hAnsiTheme="minorHAnsi" w:cs="Calibri"/>
        </w:rPr>
        <w:t xml:space="preserve"> efektywność,</w:t>
      </w:r>
      <w:r>
        <w:rPr>
          <w:rFonts w:asciiTheme="minorHAnsi" w:hAnsiTheme="minorHAnsi" w:cs="Calibri"/>
        </w:rPr>
        <w:t xml:space="preserve"> </w:t>
      </w:r>
      <w:r w:rsidRPr="003201C8">
        <w:rPr>
          <w:rFonts w:asciiTheme="minorHAnsi" w:hAnsiTheme="minorHAnsi" w:cs="Calibri"/>
        </w:rPr>
        <w:t>uż</w:t>
      </w:r>
      <w:bookmarkStart w:id="1" w:name="_GoBack"/>
      <w:bookmarkEnd w:id="1"/>
      <w:r w:rsidRPr="003201C8">
        <w:rPr>
          <w:rFonts w:asciiTheme="minorHAnsi" w:hAnsiTheme="minorHAnsi" w:cs="Calibri"/>
        </w:rPr>
        <w:t>yteczność, trwałość oraz efektywność działań podjętych w ramach RPOWŚ 2014-2020.</w:t>
      </w:r>
    </w:p>
    <w:p w:rsidR="00C035CC" w:rsidRPr="003201C8" w:rsidRDefault="00C035CC" w:rsidP="00C035CC">
      <w:pPr>
        <w:rPr>
          <w:rFonts w:asciiTheme="minorHAnsi" w:hAnsiTheme="minorHAnsi" w:cs="Calibri"/>
          <w:color w:val="000000"/>
        </w:rPr>
      </w:pPr>
      <w:r w:rsidRPr="003201C8">
        <w:rPr>
          <w:rFonts w:asciiTheme="minorHAnsi" w:hAnsiTheme="minorHAnsi" w:cs="Calibri"/>
        </w:rPr>
        <w:t xml:space="preserve">Badanie przeprowadzone zostało z uczestnikami projektów, którzy w chwili rozpoczęcia korzystania ze wsparcia byli zatrudnieni, korzystali ze wsparcia </w:t>
      </w:r>
      <w:r w:rsidRPr="003201C8">
        <w:rPr>
          <w:rFonts w:asciiTheme="minorHAnsi" w:hAnsiTheme="minorHAnsi" w:cs="Calibri"/>
          <w:color w:val="000000"/>
        </w:rPr>
        <w:t xml:space="preserve">w ramach wybranych Priorytetów Inwestycyjnych (PI) współfinansowanych z EFS i zakończyli udział we wsparciu w okresie od początku realizacji RPOWŚ 2014-2020 do 30 czerwca 2018 r.; </w:t>
      </w:r>
      <w:r w:rsidRPr="003201C8">
        <w:rPr>
          <w:rFonts w:asciiTheme="minorHAnsi" w:hAnsiTheme="minorHAnsi" w:cs="Calibri"/>
        </w:rPr>
        <w:t>a zatem w</w:t>
      </w:r>
      <w:r w:rsidRPr="003201C8">
        <w:rPr>
          <w:rFonts w:asciiTheme="minorHAnsi" w:hAnsiTheme="minorHAnsi" w:cs="Calibri"/>
          <w:color w:val="000000"/>
        </w:rPr>
        <w:t> przypadku których upłynęło co najmniej 6 miesięcy od zakończenia udziału we wsparciu.</w:t>
      </w:r>
    </w:p>
    <w:p w:rsidR="00C035CC" w:rsidRPr="003201C8" w:rsidRDefault="00C035CC" w:rsidP="00C035CC">
      <w:pPr>
        <w:rPr>
          <w:rFonts w:asciiTheme="minorHAnsi" w:hAnsiTheme="minorHAnsi" w:cs="Calibri"/>
        </w:rPr>
      </w:pPr>
      <w:r w:rsidRPr="003201C8">
        <w:rPr>
          <w:rFonts w:asciiTheme="minorHAnsi" w:hAnsiTheme="minorHAnsi" w:cs="Calibri"/>
          <w:color w:val="000000"/>
        </w:rPr>
        <w:t xml:space="preserve">Z osobami, które korzystały ze wsparcia w ramach projektów przeprowadzone zostały wywiady metodą CAWI wspomagane CATI zgodnie ze wzorem zaproponowanym w </w:t>
      </w:r>
      <w:r w:rsidRPr="003201C8">
        <w:rPr>
          <w:rFonts w:asciiTheme="minorHAnsi" w:hAnsiTheme="minorHAnsi" w:cs="Calibri"/>
          <w:i/>
          <w:color w:val="000000"/>
        </w:rPr>
        <w:t>Wytycznych w zakresie monitorowania postępu rzeczowego realizacji programów operacyjnych na lata 2014-2020</w:t>
      </w:r>
      <w:r w:rsidRPr="003201C8">
        <w:rPr>
          <w:rFonts w:asciiTheme="minorHAnsi" w:hAnsiTheme="minorHAnsi" w:cs="Calibri"/>
          <w:color w:val="000000"/>
        </w:rPr>
        <w:t>. Dodatkowo, badaniu poddano beneficjentów realizujących projekty w ramach działania 10.5 RPOWŚ 2014-2020 – przeprowadzono z nimi indywidualne wywiady pogłębione.</w:t>
      </w:r>
    </w:p>
    <w:p w:rsidR="00C035CC" w:rsidRPr="003201C8" w:rsidRDefault="00C035CC" w:rsidP="00C035CC">
      <w:pPr>
        <w:rPr>
          <w:rFonts w:asciiTheme="minorHAnsi" w:hAnsiTheme="minorHAnsi" w:cstheme="minorHAnsi"/>
        </w:rPr>
      </w:pPr>
      <w:r w:rsidRPr="003201C8">
        <w:rPr>
          <w:rFonts w:asciiTheme="minorHAnsi" w:hAnsiTheme="minorHAnsi" w:cstheme="minorHAnsi"/>
        </w:rPr>
        <w:t xml:space="preserve">Biorąc pod uwagę sytuację społeczno-gospodarczą województwa świętokrzyskiego wskazać należy, że interwencja dotycząca wsparcia kierowanego do osób pracujących </w:t>
      </w:r>
      <w:r>
        <w:rPr>
          <w:rFonts w:asciiTheme="minorHAnsi" w:hAnsiTheme="minorHAnsi" w:cstheme="minorHAnsi"/>
        </w:rPr>
        <w:t>jest zasadna. Na uwagę zasługują</w:t>
      </w:r>
      <w:r w:rsidRPr="003201C8">
        <w:rPr>
          <w:rFonts w:asciiTheme="minorHAnsi" w:hAnsiTheme="minorHAnsi" w:cstheme="minorHAnsi"/>
        </w:rPr>
        <w:t xml:space="preserve"> zmniejszająca się liczba ludności zamieszkującej analizowany obszar oraz zmniejszenie odsetka osób w wieku przedprodukcyjnym i produkcyjnym w populacji województwa. Należy również zwrócić uwagę na wysoką (choć malejącą) stopę bezrobocia, która znajduje się na wyższy</w:t>
      </w:r>
      <w:r>
        <w:rPr>
          <w:rFonts w:asciiTheme="minorHAnsi" w:hAnsiTheme="minorHAnsi" w:cstheme="minorHAnsi"/>
        </w:rPr>
        <w:t>m poziomie, niż średnia krajowa</w:t>
      </w:r>
      <w:r w:rsidRPr="003201C8">
        <w:rPr>
          <w:rFonts w:asciiTheme="minorHAnsi" w:hAnsiTheme="minorHAnsi" w:cstheme="minorHAnsi"/>
        </w:rPr>
        <w:t xml:space="preserve">. </w:t>
      </w:r>
    </w:p>
    <w:p w:rsidR="00C035CC" w:rsidRPr="003201C8" w:rsidRDefault="00C035CC" w:rsidP="00C035CC">
      <w:pPr>
        <w:rPr>
          <w:rFonts w:asciiTheme="minorHAnsi" w:hAnsiTheme="minorHAnsi" w:cstheme="minorHAnsi"/>
        </w:rPr>
      </w:pPr>
      <w:r w:rsidRPr="003201C8">
        <w:rPr>
          <w:rFonts w:asciiTheme="minorHAnsi" w:hAnsiTheme="minorHAnsi" w:cstheme="minorHAnsi"/>
        </w:rPr>
        <w:t>Analiza stopnia wykształcenia mieszkańców województwa świętokrzyskiego pokazała, że wśród osób aktywnych zawodowo bardzo licz</w:t>
      </w:r>
      <w:r>
        <w:rPr>
          <w:rFonts w:asciiTheme="minorHAnsi" w:hAnsiTheme="minorHAnsi" w:cstheme="minorHAnsi"/>
        </w:rPr>
        <w:t>n</w:t>
      </w:r>
      <w:r w:rsidRPr="003201C8">
        <w:rPr>
          <w:rFonts w:asciiTheme="minorHAnsi" w:hAnsiTheme="minorHAnsi" w:cstheme="minorHAnsi"/>
        </w:rPr>
        <w:t xml:space="preserve">ą grupę stanowią osoby z wykształceniem policealnym, średnim zawodowym oraz zasadniczym zawodowym. </w:t>
      </w:r>
      <w:r>
        <w:rPr>
          <w:rFonts w:asciiTheme="minorHAnsi" w:hAnsiTheme="minorHAnsi" w:cstheme="minorHAnsi"/>
        </w:rPr>
        <w:t xml:space="preserve">45,08% mieszkańców województwa  stanowią osoby bierne zawodowo – </w:t>
      </w:r>
      <w:r w:rsidRPr="003201C8">
        <w:rPr>
          <w:rFonts w:asciiTheme="minorHAnsi" w:hAnsiTheme="minorHAnsi" w:cstheme="minorHAnsi"/>
        </w:rPr>
        <w:t xml:space="preserve">blisko 40% </w:t>
      </w:r>
      <w:r>
        <w:rPr>
          <w:rFonts w:asciiTheme="minorHAnsi" w:hAnsiTheme="minorHAnsi" w:cstheme="minorHAnsi"/>
        </w:rPr>
        <w:t xml:space="preserve">z nich </w:t>
      </w:r>
      <w:r w:rsidRPr="003201C8">
        <w:rPr>
          <w:rFonts w:asciiTheme="minorHAnsi" w:hAnsiTheme="minorHAnsi" w:cstheme="minorHAnsi"/>
        </w:rPr>
        <w:t>posiada wykształcenie gimnazjalne, podstawowe i niższe. Jednocześnie niespełna 3% wszystkich osób dorosłych (w wieku 25-64 lat) zamieszkujących obszar województwa świętokrzyskiego uczestniczyło w kształceniu bądź szkoleniu.</w:t>
      </w:r>
    </w:p>
    <w:p w:rsidR="00C035CC" w:rsidRPr="003201C8" w:rsidRDefault="00C035CC" w:rsidP="00C035CC">
      <w:pPr>
        <w:rPr>
          <w:rFonts w:asciiTheme="minorHAnsi" w:hAnsiTheme="minorHAnsi" w:cstheme="minorHAnsi"/>
        </w:rPr>
      </w:pPr>
      <w:r w:rsidRPr="003201C8">
        <w:rPr>
          <w:rFonts w:asciiTheme="minorHAnsi" w:hAnsiTheme="minorHAnsi" w:cstheme="minorHAnsi"/>
        </w:rPr>
        <w:lastRenderedPageBreak/>
        <w:t>Analizując sytuację gospodarczą województwa</w:t>
      </w:r>
      <w:r>
        <w:rPr>
          <w:rFonts w:asciiTheme="minorHAnsi" w:hAnsiTheme="minorHAnsi" w:cstheme="minorHAnsi"/>
        </w:rPr>
        <w:t>,</w:t>
      </w:r>
      <w:r w:rsidRPr="003201C8">
        <w:rPr>
          <w:rFonts w:asciiTheme="minorHAnsi" w:hAnsiTheme="minorHAnsi" w:cstheme="minorHAnsi"/>
        </w:rPr>
        <w:t xml:space="preserve"> należy wskazać, że na obszarze tym funkcjonują przede wszystkim małe i średnie przedsiębiorstwa. Specyfika takich przedsiębiorstw powoduje, że</w:t>
      </w:r>
      <w:r>
        <w:rPr>
          <w:rFonts w:asciiTheme="minorHAnsi" w:hAnsiTheme="minorHAnsi" w:cstheme="minorHAnsi"/>
        </w:rPr>
        <w:t> </w:t>
      </w:r>
      <w:r w:rsidRPr="003201C8">
        <w:rPr>
          <w:rFonts w:asciiTheme="minorHAnsi" w:hAnsiTheme="minorHAnsi" w:cstheme="minorHAnsi"/>
        </w:rPr>
        <w:t>od pracowników oczekuje się szerokich i zróżnicowanych umiejętności.</w:t>
      </w:r>
    </w:p>
    <w:p w:rsidR="00C035CC" w:rsidRPr="003201C8" w:rsidRDefault="00C035CC" w:rsidP="00C035CC">
      <w:pPr>
        <w:rPr>
          <w:rFonts w:asciiTheme="minorHAnsi" w:hAnsiTheme="minorHAnsi" w:cstheme="minorHAnsi"/>
        </w:rPr>
      </w:pPr>
      <w:r w:rsidRPr="003201C8">
        <w:rPr>
          <w:rFonts w:asciiTheme="minorHAnsi" w:hAnsiTheme="minorHAnsi" w:cstheme="minorHAnsi"/>
        </w:rPr>
        <w:t>Potrzeby regionu w zakresie wsparcia rynku pracy, kierowanego przede wszystkim do pracowników, potwierdza również diagnoza sporządzona w celu opracowania dokumentu RPOWŚ 2014-2020 oraz</w:t>
      </w:r>
      <w:r>
        <w:rPr>
          <w:rFonts w:asciiTheme="minorHAnsi" w:hAnsiTheme="minorHAnsi" w:cstheme="minorHAnsi"/>
        </w:rPr>
        <w:t> </w:t>
      </w:r>
      <w:r w:rsidRPr="003201C8">
        <w:rPr>
          <w:rFonts w:asciiTheme="minorHAnsi" w:hAnsiTheme="minorHAnsi" w:cstheme="minorHAnsi"/>
        </w:rPr>
        <w:t xml:space="preserve">uzasadnienie podziału alokacji pomiędzy Cele Tematyczne i Priorytety Inwestycyjne. W Programie podkreśla się, że </w:t>
      </w:r>
      <w:r w:rsidRPr="003201C8">
        <w:rPr>
          <w:rFonts w:asciiTheme="minorHAnsi" w:hAnsiTheme="minorHAnsi"/>
          <w:i/>
        </w:rPr>
        <w:t>koniecznym jest podejmowanie działań ukierunkowanych na wzmacnianie aktywności zawodowej i społecznej mieszkańców regionu, którzy w chwili obecnej stanowią zasoby siły roboczej (jak również budowanie jej potencjału w przyszłości)</w:t>
      </w:r>
      <w:r w:rsidRPr="003201C8">
        <w:rPr>
          <w:rStyle w:val="Odwoanieprzypisudolnego"/>
          <w:rFonts w:asciiTheme="minorHAnsi" w:hAnsiTheme="minorHAnsi"/>
        </w:rPr>
        <w:footnoteReference w:id="1"/>
      </w:r>
      <w:r w:rsidRPr="003201C8">
        <w:rPr>
          <w:rFonts w:asciiTheme="minorHAnsi" w:hAnsiTheme="minorHAnsi"/>
        </w:rPr>
        <w:t>. Biorąc</w:t>
      </w:r>
      <w:r>
        <w:rPr>
          <w:rFonts w:asciiTheme="minorHAnsi" w:hAnsiTheme="minorHAnsi"/>
        </w:rPr>
        <w:t> </w:t>
      </w:r>
      <w:r w:rsidRPr="0038129D">
        <w:t>pod</w:t>
      </w:r>
      <w:r>
        <w:t> </w:t>
      </w:r>
      <w:r w:rsidRPr="0038129D">
        <w:t>uwagę</w:t>
      </w:r>
      <w:r w:rsidRPr="003201C8">
        <w:rPr>
          <w:rFonts w:asciiTheme="minorHAnsi" w:hAnsiTheme="minorHAnsi"/>
        </w:rPr>
        <w:t xml:space="preserve"> podział alokacji pomiędzy poszczególne cele i priorytety</w:t>
      </w:r>
      <w:r>
        <w:rPr>
          <w:rFonts w:asciiTheme="minorHAnsi" w:hAnsiTheme="minorHAnsi"/>
        </w:rPr>
        <w:t>,</w:t>
      </w:r>
      <w:r w:rsidRPr="003201C8">
        <w:rPr>
          <w:rFonts w:asciiTheme="minorHAnsi" w:hAnsiTheme="minorHAnsi"/>
        </w:rPr>
        <w:t xml:space="preserve"> wskazać należy, że</w:t>
      </w:r>
      <w:r>
        <w:rPr>
          <w:rFonts w:asciiTheme="minorHAnsi" w:hAnsiTheme="minorHAnsi"/>
        </w:rPr>
        <w:t> </w:t>
      </w:r>
      <w:r w:rsidRPr="003201C8">
        <w:rPr>
          <w:rFonts w:asciiTheme="minorHAnsi" w:hAnsiTheme="minorHAnsi"/>
        </w:rPr>
        <w:t>wsparcie oferowane w odniesieniu do rynku pracy jest w pełni uzasadnione.</w:t>
      </w:r>
    </w:p>
    <w:p w:rsidR="00C035CC" w:rsidRPr="00B320E1" w:rsidRDefault="00C035CC" w:rsidP="00C035CC">
      <w:pPr>
        <w:rPr>
          <w:rFonts w:asciiTheme="minorHAnsi" w:hAnsiTheme="minorHAnsi"/>
        </w:rPr>
      </w:pPr>
      <w:r w:rsidRPr="00B320E1">
        <w:rPr>
          <w:rFonts w:asciiTheme="minorHAnsi" w:hAnsiTheme="minorHAnsi"/>
        </w:rPr>
        <w:t>Przeprowadzone badanie ilościowe umożliwiło oszacowanie wartości brutto i netto wskaźnika</w:t>
      </w:r>
      <w:r>
        <w:rPr>
          <w:rStyle w:val="Odwoanieprzypisudolnego"/>
          <w:rFonts w:asciiTheme="minorHAnsi" w:hAnsiTheme="minorHAnsi"/>
        </w:rPr>
        <w:footnoteReference w:id="2"/>
      </w:r>
      <w:r w:rsidRPr="00B320E1">
        <w:rPr>
          <w:rFonts w:asciiTheme="minorHAnsi" w:hAnsiTheme="minorHAnsi"/>
        </w:rPr>
        <w:t xml:space="preserve"> „Liczba osób znajdujących się w lepszej sytuacji na rynku pracy, sześć miesięcy po opuszczeniu programu”. Wartość brutto wskaźnika wyniosła 7,56%. Oznacza to, że na </w:t>
      </w:r>
      <w:r>
        <w:rPr>
          <w:rFonts w:asciiTheme="minorHAnsi" w:hAnsiTheme="minorHAnsi"/>
        </w:rPr>
        <w:t xml:space="preserve">każde </w:t>
      </w:r>
      <w:r w:rsidRPr="00B320E1">
        <w:rPr>
          <w:rFonts w:asciiTheme="minorHAnsi" w:hAnsiTheme="minorHAnsi"/>
        </w:rPr>
        <w:t>1000 osób objętych wsparciem sytuacja</w:t>
      </w:r>
      <w:r>
        <w:rPr>
          <w:rFonts w:asciiTheme="minorHAnsi" w:hAnsiTheme="minorHAnsi"/>
        </w:rPr>
        <w:t xml:space="preserve"> </w:t>
      </w:r>
      <w:r w:rsidRPr="00B320E1">
        <w:rPr>
          <w:rFonts w:asciiTheme="minorHAnsi" w:hAnsiTheme="minorHAnsi"/>
        </w:rPr>
        <w:t xml:space="preserve">na rynku pracy poprawiła się </w:t>
      </w:r>
      <w:r>
        <w:rPr>
          <w:rFonts w:asciiTheme="minorHAnsi" w:hAnsiTheme="minorHAnsi"/>
        </w:rPr>
        <w:t>średnio u</w:t>
      </w:r>
      <w:r w:rsidRPr="00B320E1">
        <w:rPr>
          <w:rFonts w:asciiTheme="minorHAnsi" w:hAnsiTheme="minorHAnsi"/>
        </w:rPr>
        <w:t xml:space="preserve"> około 76 z nich. Wartość wskaźnika może zdawać się relatywnie niska, jednak należy zwrócić uwagę, iż:</w:t>
      </w:r>
    </w:p>
    <w:p w:rsidR="00C035CC" w:rsidRPr="00B320E1" w:rsidRDefault="00C035CC" w:rsidP="00C035CC">
      <w:pPr>
        <w:numPr>
          <w:ilvl w:val="0"/>
          <w:numId w:val="1"/>
        </w:numPr>
        <w:contextualSpacing/>
        <w:rPr>
          <w:rFonts w:asciiTheme="minorHAnsi" w:hAnsiTheme="minorHAnsi"/>
        </w:rPr>
      </w:pPr>
      <w:r w:rsidRPr="00B320E1">
        <w:rPr>
          <w:rFonts w:asciiTheme="minorHAnsi" w:hAnsiTheme="minorHAnsi"/>
        </w:rPr>
        <w:t xml:space="preserve">Założona w Załączniku nr 6 do </w:t>
      </w:r>
      <w:r w:rsidRPr="00B320E1">
        <w:rPr>
          <w:rFonts w:asciiTheme="minorHAnsi" w:hAnsiTheme="minorHAnsi" w:cs="Arial"/>
          <w:i/>
          <w:iCs/>
        </w:rPr>
        <w:t>Wytycznych w zakresie monitorowania postępu rzeczowego realizacji programów operacyjnych na lata 2014-2020</w:t>
      </w:r>
      <w:r w:rsidRPr="00B320E1">
        <w:rPr>
          <w:rFonts w:asciiTheme="minorHAnsi" w:hAnsiTheme="minorHAnsi"/>
        </w:rPr>
        <w:t xml:space="preserve"> – </w:t>
      </w:r>
      <w:r w:rsidRPr="00B320E1">
        <w:rPr>
          <w:rFonts w:asciiTheme="minorHAnsi" w:hAnsiTheme="minorHAnsi"/>
          <w:i/>
        </w:rPr>
        <w:t xml:space="preserve">Sposób pomiaru wskaźników rezultatu długoterminowego EFS, dla których źródłem danych jest badanie ewaluacyjne </w:t>
      </w:r>
      <w:r w:rsidRPr="00B320E1">
        <w:rPr>
          <w:rFonts w:asciiTheme="minorHAnsi" w:hAnsiTheme="minorHAnsi"/>
        </w:rPr>
        <w:t>metodologia nie uwzględnia przy obliczaniu wartości wskaźnika brutto wzrostu oceny wynagrodzenia;</w:t>
      </w:r>
    </w:p>
    <w:p w:rsidR="00C035CC" w:rsidRPr="00B320E1" w:rsidRDefault="00C035CC" w:rsidP="00C035CC">
      <w:pPr>
        <w:numPr>
          <w:ilvl w:val="0"/>
          <w:numId w:val="1"/>
        </w:numPr>
        <w:contextualSpacing/>
        <w:rPr>
          <w:rFonts w:asciiTheme="minorHAnsi" w:hAnsiTheme="minorHAnsi"/>
        </w:rPr>
      </w:pPr>
      <w:r w:rsidRPr="00B320E1">
        <w:rPr>
          <w:rFonts w:asciiTheme="minorHAnsi" w:hAnsiTheme="minorHAnsi"/>
        </w:rPr>
        <w:t xml:space="preserve">Większość respondentów już przed uczestnictwem w projekcie znajdowała się w korzystnej sytuacji na rynku pracy (82,77% respondentów było regularnymi pracownikami, 73,55% pracowało na umowę o pracę na czas nieokreślony, 89,6% było zatrudnionych w pełnym wymiarze godzin/na pełen etat), dlatego udział w projekcie nie mógł przyczynić się do znacznej poprawy. </w:t>
      </w:r>
    </w:p>
    <w:p w:rsidR="00C035CC" w:rsidRPr="00B320E1" w:rsidRDefault="00C035CC" w:rsidP="00C035CC">
      <w:pPr>
        <w:rPr>
          <w:rFonts w:asciiTheme="minorHAnsi" w:eastAsia="Times New Roman" w:hAnsiTheme="minorHAnsi"/>
          <w:color w:val="000000"/>
          <w:lang w:eastAsia="pl-PL"/>
        </w:rPr>
      </w:pPr>
      <w:r w:rsidRPr="00B320E1">
        <w:rPr>
          <w:rFonts w:asciiTheme="minorHAnsi" w:hAnsiTheme="minorHAnsi"/>
        </w:rPr>
        <w:t xml:space="preserve">Najwyższa wartość brutto wskaźnika została odnotowana w przypadku PI 10iv (Działanie 8.5) (13,48%), PI 9i (Działanie 9.1) (10,26%) oraz PI </w:t>
      </w:r>
      <w:r w:rsidRPr="00B320E1">
        <w:rPr>
          <w:rFonts w:asciiTheme="minorHAnsi" w:eastAsia="Times New Roman" w:hAnsiTheme="minorHAnsi"/>
          <w:color w:val="000000"/>
          <w:lang w:eastAsia="pl-PL"/>
        </w:rPr>
        <w:t>9v (Działanie 9.3) (9,29%), zaś najniższa dla PI 8vi (Działanie 8.2) (3,46%) oraz PI 8iv (Działanie 8.1) (3,51%).</w:t>
      </w:r>
    </w:p>
    <w:p w:rsidR="00C035CC" w:rsidRPr="00B320E1" w:rsidRDefault="00C035CC" w:rsidP="00C035CC">
      <w:pPr>
        <w:autoSpaceDE w:val="0"/>
        <w:autoSpaceDN w:val="0"/>
        <w:adjustRightInd w:val="0"/>
        <w:rPr>
          <w:rFonts w:asciiTheme="minorHAnsi" w:hAnsiTheme="minorHAnsi" w:cs="Arial"/>
        </w:rPr>
      </w:pPr>
      <w:r w:rsidRPr="00B320E1">
        <w:rPr>
          <w:rFonts w:asciiTheme="minorHAnsi" w:hAnsiTheme="minorHAnsi"/>
        </w:rPr>
        <w:t>Wartość netto wskaźnika wyniosła 3,58%. Niska wartość wskaźnika netto jest rezultatem metodologii jego obliczania. Pytanie 8 (</w:t>
      </w:r>
      <w:r w:rsidRPr="00B320E1">
        <w:rPr>
          <w:rFonts w:asciiTheme="minorHAnsi" w:hAnsiTheme="minorHAnsi" w:cs="Arial"/>
        </w:rPr>
        <w:t xml:space="preserve">W jakim stopniu udział w projekcie przyczynił się do tej zmiany? Proszę </w:t>
      </w:r>
      <w:r w:rsidRPr="00B320E1">
        <w:rPr>
          <w:rFonts w:asciiTheme="minorHAnsi" w:hAnsiTheme="minorHAnsi" w:cs="Arial"/>
        </w:rPr>
        <w:lastRenderedPageBreak/>
        <w:t>o</w:t>
      </w:r>
      <w:r>
        <w:rPr>
          <w:rFonts w:asciiTheme="minorHAnsi" w:hAnsiTheme="minorHAnsi" w:cs="Arial"/>
        </w:rPr>
        <w:t> </w:t>
      </w:r>
      <w:r w:rsidRPr="00B320E1">
        <w:rPr>
          <w:rFonts w:asciiTheme="minorHAnsi" w:hAnsiTheme="minorHAnsi" w:cs="Arial"/>
        </w:rPr>
        <w:t>odpowiedź na skali od 1 do 10, gdzie 1 oznacza "w ogóle się nie przyczynił", a 10 oznacza, że</w:t>
      </w:r>
      <w:r>
        <w:rPr>
          <w:rFonts w:asciiTheme="minorHAnsi" w:hAnsiTheme="minorHAnsi" w:cs="Arial"/>
        </w:rPr>
        <w:t> </w:t>
      </w:r>
      <w:r w:rsidRPr="00B320E1">
        <w:rPr>
          <w:rFonts w:asciiTheme="minorHAnsi" w:hAnsiTheme="minorHAnsi" w:cs="Arial"/>
        </w:rPr>
        <w:t>"bardzo się przyczynił")</w:t>
      </w:r>
      <w:r w:rsidRPr="00B320E1">
        <w:rPr>
          <w:rFonts w:asciiTheme="minorHAnsi" w:hAnsiTheme="minorHAnsi"/>
        </w:rPr>
        <w:t>, decydujące o tym, iż w przypadku danej osoby stwierdzana jest poprawa sytuacji na rynku pracy kwalifikując</w:t>
      </w:r>
      <w:r>
        <w:rPr>
          <w:rFonts w:asciiTheme="minorHAnsi" w:hAnsiTheme="minorHAnsi"/>
        </w:rPr>
        <w:t>a</w:t>
      </w:r>
      <w:r w:rsidRPr="00B320E1">
        <w:rPr>
          <w:rFonts w:asciiTheme="minorHAnsi" w:hAnsiTheme="minorHAnsi"/>
        </w:rPr>
        <w:t xml:space="preserve"> do wliczenia do wskaźnika netto, zadawane było wyłącznie osobom, które w pytaniu 7 (</w:t>
      </w:r>
      <w:r>
        <w:rPr>
          <w:rFonts w:asciiTheme="minorHAnsi" w:hAnsiTheme="minorHAnsi" w:cs="Arial"/>
        </w:rPr>
        <w:t xml:space="preserve">Czy w tamtym okresie, </w:t>
      </w:r>
      <w:r w:rsidRPr="00B320E1">
        <w:rPr>
          <w:rFonts w:asciiTheme="minorHAnsi" w:hAnsiTheme="minorHAnsi" w:cs="Arial"/>
        </w:rPr>
        <w:t>tj. sześć miesięcy po zakończeniu udziału w</w:t>
      </w:r>
      <w:r>
        <w:rPr>
          <w:rFonts w:asciiTheme="minorHAnsi" w:hAnsiTheme="minorHAnsi" w:cs="Arial"/>
        </w:rPr>
        <w:t> </w:t>
      </w:r>
      <w:r w:rsidRPr="00B320E1">
        <w:rPr>
          <w:rFonts w:asciiTheme="minorHAnsi" w:hAnsiTheme="minorHAnsi" w:cs="Arial"/>
        </w:rPr>
        <w:t>projekcie</w:t>
      </w:r>
      <w:r>
        <w:rPr>
          <w:rFonts w:asciiTheme="minorHAnsi" w:hAnsiTheme="minorHAnsi" w:cs="Arial"/>
        </w:rPr>
        <w:t>,</w:t>
      </w:r>
      <w:r w:rsidRPr="00B320E1">
        <w:rPr>
          <w:rFonts w:asciiTheme="minorHAnsi" w:hAnsiTheme="minorHAnsi" w:cs="Arial"/>
        </w:rPr>
        <w:t xml:space="preserve"> zmieniał(a) Pan(i) pracę lub stanowisko?) wskazały odpowiedź „tak” – znacznie ograniczało to liczbę respondentów, których opinie były brane pod uwagę w obliczeniach – </w:t>
      </w:r>
      <w:r>
        <w:rPr>
          <w:rFonts w:asciiTheme="minorHAnsi" w:hAnsiTheme="minorHAnsi" w:cs="Arial"/>
        </w:rPr>
        <w:t xml:space="preserve">jeśli sytuacja danego uczestnika </w:t>
      </w:r>
      <w:r w:rsidRPr="00F932A7">
        <w:rPr>
          <w:rFonts w:asciiTheme="minorHAnsi" w:hAnsiTheme="minorHAnsi" w:cs="Arial"/>
        </w:rPr>
        <w:t>poprawiła się znacznie i w jego opinii był to rezultat udzielonego wsparcia,</w:t>
      </w:r>
      <w:r>
        <w:rPr>
          <w:rFonts w:asciiTheme="minorHAnsi" w:hAnsiTheme="minorHAnsi" w:cs="Arial"/>
        </w:rPr>
        <w:t xml:space="preserve"> ale</w:t>
      </w:r>
      <w:r w:rsidRPr="00F932A7">
        <w:rPr>
          <w:rFonts w:asciiTheme="minorHAnsi" w:hAnsiTheme="minorHAnsi" w:cs="Arial"/>
        </w:rPr>
        <w:t xml:space="preserve"> nie zmienił </w:t>
      </w:r>
      <w:r>
        <w:rPr>
          <w:rFonts w:asciiTheme="minorHAnsi" w:hAnsiTheme="minorHAnsi" w:cs="Arial"/>
        </w:rPr>
        <w:t xml:space="preserve">on </w:t>
      </w:r>
      <w:r w:rsidRPr="00F932A7">
        <w:rPr>
          <w:rFonts w:asciiTheme="minorHAnsi" w:hAnsiTheme="minorHAnsi" w:cs="Arial"/>
        </w:rPr>
        <w:t>pracy lub stanowiska</w:t>
      </w:r>
      <w:r>
        <w:rPr>
          <w:rFonts w:asciiTheme="minorHAnsi" w:hAnsiTheme="minorHAnsi" w:cs="Arial"/>
        </w:rPr>
        <w:t>,</w:t>
      </w:r>
      <w:r w:rsidRPr="00F932A7">
        <w:rPr>
          <w:rFonts w:asciiTheme="minorHAnsi" w:hAnsiTheme="minorHAnsi" w:cs="Arial"/>
        </w:rPr>
        <w:t xml:space="preserve"> to jego odpowiedzi nie podwyższały wartości wskaźnika.</w:t>
      </w:r>
    </w:p>
    <w:p w:rsidR="00C035CC" w:rsidRPr="003201C8" w:rsidRDefault="00C035CC" w:rsidP="00C035CC">
      <w:pPr>
        <w:autoSpaceDE w:val="0"/>
        <w:autoSpaceDN w:val="0"/>
        <w:adjustRightInd w:val="0"/>
        <w:rPr>
          <w:rFonts w:asciiTheme="minorHAnsi" w:hAnsiTheme="minorHAnsi" w:cstheme="minorHAnsi"/>
        </w:rPr>
      </w:pPr>
      <w:r w:rsidRPr="003201C8">
        <w:rPr>
          <w:rFonts w:asciiTheme="minorHAnsi" w:hAnsiTheme="minorHAnsi" w:cstheme="minorHAnsi"/>
        </w:rPr>
        <w:t>Wyniki badania z uczestnikami projektów ukazały, że niewielki odsetek badanych</w:t>
      </w:r>
      <w:r>
        <w:rPr>
          <w:rFonts w:asciiTheme="minorHAnsi" w:hAnsiTheme="minorHAnsi" w:cstheme="minorHAnsi"/>
        </w:rPr>
        <w:t xml:space="preserve"> </w:t>
      </w:r>
      <w:r w:rsidRPr="003201C8">
        <w:rPr>
          <w:rFonts w:asciiTheme="minorHAnsi" w:hAnsiTheme="minorHAnsi" w:cstheme="minorHAnsi"/>
        </w:rPr>
        <w:t>po 6 miesiącach od zakończenia udziału we wsparciu przeszedł z niepewnego do stabilnego zatrudnienia oraz z niepełnego do pełnego zatrudnienia. W</w:t>
      </w:r>
      <w:r>
        <w:rPr>
          <w:rFonts w:asciiTheme="minorHAnsi" w:hAnsiTheme="minorHAnsi" w:cstheme="minorHAnsi"/>
        </w:rPr>
        <w:t>śród</w:t>
      </w:r>
      <w:r w:rsidRPr="003201C8">
        <w:rPr>
          <w:rFonts w:asciiTheme="minorHAnsi" w:hAnsiTheme="minorHAnsi" w:cstheme="minorHAnsi"/>
        </w:rPr>
        <w:t xml:space="preserve"> osób, które zadeklarowały wystąpienie takiej zmiany, dominowali mężczyźni. Zaobserwowane tendencje pozwalają jednak na stwierdzenie, że w wyniku uczestnictwa w projekcie w odniesieniu do uczestników zaszły następujące zmiany:</w:t>
      </w:r>
    </w:p>
    <w:p w:rsidR="00C035CC" w:rsidRPr="003201C8" w:rsidRDefault="00C035CC" w:rsidP="00C035CC">
      <w:pPr>
        <w:pStyle w:val="Akapitzlist"/>
        <w:numPr>
          <w:ilvl w:val="0"/>
          <w:numId w:val="2"/>
        </w:numPr>
        <w:autoSpaceDE w:val="0"/>
        <w:autoSpaceDN w:val="0"/>
        <w:adjustRightInd w:val="0"/>
        <w:rPr>
          <w:rFonts w:asciiTheme="minorHAnsi" w:hAnsiTheme="minorHAnsi" w:cstheme="minorHAnsi"/>
        </w:rPr>
      </w:pPr>
      <w:r w:rsidRPr="003201C8">
        <w:rPr>
          <w:rFonts w:asciiTheme="minorHAnsi" w:hAnsiTheme="minorHAnsi" w:cstheme="minorHAnsi"/>
        </w:rPr>
        <w:t>Częstsze stosowanie przez pracodawców wobec uczestników projektów formy umów o pracę w miejsce umów cywilno-prawnych.</w:t>
      </w:r>
    </w:p>
    <w:p w:rsidR="00C035CC" w:rsidRPr="003201C8" w:rsidRDefault="00C035CC" w:rsidP="00C035CC">
      <w:pPr>
        <w:pStyle w:val="Akapitzlist"/>
        <w:numPr>
          <w:ilvl w:val="0"/>
          <w:numId w:val="2"/>
        </w:numPr>
        <w:autoSpaceDE w:val="0"/>
        <w:autoSpaceDN w:val="0"/>
        <w:adjustRightInd w:val="0"/>
        <w:rPr>
          <w:rFonts w:asciiTheme="minorHAnsi" w:hAnsiTheme="minorHAnsi" w:cstheme="minorHAnsi"/>
        </w:rPr>
      </w:pPr>
      <w:r w:rsidRPr="003201C8">
        <w:rPr>
          <w:rFonts w:asciiTheme="minorHAnsi" w:hAnsiTheme="minorHAnsi" w:cstheme="minorHAnsi"/>
        </w:rPr>
        <w:t>Częstsze stosowanie przez pracodawców wobec uczestników projektów formy umów o pracę na czas nieokreślony w miejsce terminowych umów o pracę.</w:t>
      </w:r>
    </w:p>
    <w:p w:rsidR="00C035CC" w:rsidRPr="003201C8" w:rsidRDefault="00C035CC" w:rsidP="00C035CC">
      <w:pPr>
        <w:autoSpaceDE w:val="0"/>
        <w:autoSpaceDN w:val="0"/>
        <w:adjustRightInd w:val="0"/>
        <w:rPr>
          <w:rFonts w:asciiTheme="minorHAnsi" w:hAnsiTheme="minorHAnsi" w:cstheme="minorHAnsi"/>
        </w:rPr>
      </w:pPr>
      <w:r w:rsidRPr="003201C8">
        <w:rPr>
          <w:rFonts w:asciiTheme="minorHAnsi" w:hAnsiTheme="minorHAnsi" w:cstheme="minorHAnsi"/>
        </w:rPr>
        <w:t>Zaobserwować można również wzrost zadowolenia uczestników projektów ze swojego wynagrodzenia w okresie 6 miesięcy po zakończeniu udziału we wsparciu. Największą satysfakcję z otrzymywanego wynagrodzenia wyrażali uczestnicy projektów realizowanych w ramach PI 10i (Działanie 8.3). Uczestnicy projektów wskazywali ponadto, że w wyniku udziału we wsparciu w</w:t>
      </w:r>
      <w:r>
        <w:rPr>
          <w:rFonts w:asciiTheme="minorHAnsi" w:hAnsiTheme="minorHAnsi" w:cstheme="minorHAnsi"/>
        </w:rPr>
        <w:t> </w:t>
      </w:r>
      <w:r w:rsidRPr="003201C8">
        <w:rPr>
          <w:rFonts w:asciiTheme="minorHAnsi" w:hAnsiTheme="minorHAnsi" w:cstheme="minorHAnsi"/>
        </w:rPr>
        <w:t>ich</w:t>
      </w:r>
      <w:r>
        <w:rPr>
          <w:rFonts w:asciiTheme="minorHAnsi" w:hAnsiTheme="minorHAnsi" w:cstheme="minorHAnsi"/>
        </w:rPr>
        <w:t> </w:t>
      </w:r>
      <w:r w:rsidRPr="003201C8">
        <w:rPr>
          <w:rFonts w:asciiTheme="minorHAnsi" w:hAnsiTheme="minorHAnsi" w:cstheme="minorHAnsi"/>
        </w:rPr>
        <w:t>sytuacji zawodowej doszło do zmiany polegającej na uzyskaniu większego poważania w pracy: zarówno ze strony pracodawcy, jak też ze strony współpracowników. Analizując opinie uczestników projektów dotyczące uzyskania przez nich większego szacunku ze strony pracodawcy</w:t>
      </w:r>
      <w:r>
        <w:rPr>
          <w:rFonts w:asciiTheme="minorHAnsi" w:hAnsiTheme="minorHAnsi" w:cstheme="minorHAnsi"/>
        </w:rPr>
        <w:t>,</w:t>
      </w:r>
      <w:r w:rsidRPr="003201C8">
        <w:rPr>
          <w:rFonts w:asciiTheme="minorHAnsi" w:hAnsiTheme="minorHAnsi" w:cstheme="minorHAnsi"/>
        </w:rPr>
        <w:t xml:space="preserve"> należy wskazać, że częściej efekt taki deklarowali mężczyźni, zaś wzrost poważania ze strony współpracowników częściej </w:t>
      </w:r>
      <w:r>
        <w:rPr>
          <w:rFonts w:asciiTheme="minorHAnsi" w:hAnsiTheme="minorHAnsi" w:cstheme="minorHAnsi"/>
        </w:rPr>
        <w:t>zauważany był</w:t>
      </w:r>
      <w:r w:rsidRPr="003201C8">
        <w:rPr>
          <w:rFonts w:asciiTheme="minorHAnsi" w:hAnsiTheme="minorHAnsi" w:cstheme="minorHAnsi"/>
        </w:rPr>
        <w:t xml:space="preserve"> przez kobiety.</w:t>
      </w:r>
      <w:r>
        <w:rPr>
          <w:rFonts w:asciiTheme="minorHAnsi" w:hAnsiTheme="minorHAnsi" w:cstheme="minorHAnsi"/>
        </w:rPr>
        <w:t xml:space="preserve"> </w:t>
      </w:r>
      <w:r w:rsidRPr="003201C8">
        <w:rPr>
          <w:rFonts w:asciiTheme="minorHAnsi" w:hAnsiTheme="minorHAnsi" w:cstheme="minorHAnsi"/>
        </w:rPr>
        <w:t xml:space="preserve">Relatywnie wysoki (10,86%) był odsetek respondentów, którzy wskazali, że uczestnictwo w projekcie pozwoliło im na sprawniejsze wykonywanie zadań służbowych. </w:t>
      </w:r>
    </w:p>
    <w:p w:rsidR="00C035CC" w:rsidRPr="003201C8" w:rsidRDefault="00C035CC" w:rsidP="00C035CC">
      <w:pPr>
        <w:rPr>
          <w:rFonts w:asciiTheme="minorHAnsi" w:hAnsiTheme="minorHAnsi"/>
        </w:rPr>
      </w:pPr>
      <w:r w:rsidRPr="003201C8">
        <w:rPr>
          <w:rFonts w:asciiTheme="minorHAnsi" w:hAnsiTheme="minorHAnsi"/>
        </w:rPr>
        <w:t>Wyniki badania ilościowego świadczą o tym, że uczestnicy projektów są bardzo zadowoleni z jakości udzielonego wsparcia – w skali od 1 do 10 zostało ono ocenione przeciętnie na 8,33. Najwyższe oceny przyznały osoby uczestniczące w projektach realizowanych w ramach 9i (Działanie 9.1) i PI 10iv (Działanie 8.5) – odpowiednio 9,39 i 9,06. Najniżej oceniono jakość wsparcia zapewnionego w ramach PI 9iv (Działanie 9.2) i PI 10i (Działanie 8.3)</w:t>
      </w:r>
      <w:r>
        <w:rPr>
          <w:rFonts w:asciiTheme="minorHAnsi" w:hAnsiTheme="minorHAnsi"/>
        </w:rPr>
        <w:t xml:space="preserve"> </w:t>
      </w:r>
      <w:r w:rsidRPr="003201C8">
        <w:rPr>
          <w:rFonts w:asciiTheme="minorHAnsi" w:hAnsiTheme="minorHAnsi"/>
        </w:rPr>
        <w:t>odpowiednio 7,61 i 7,63. Fakt, iż w przypadku żadnego z PI średnia ocen nie spadła poniżej 7,5 świadczy o tym, iż nie występuje Priorytet Inwestycyjny, w</w:t>
      </w:r>
      <w:r>
        <w:rPr>
          <w:rFonts w:asciiTheme="minorHAnsi" w:hAnsiTheme="minorHAnsi"/>
        </w:rPr>
        <w:t> </w:t>
      </w:r>
      <w:r w:rsidRPr="003201C8">
        <w:rPr>
          <w:rFonts w:asciiTheme="minorHAnsi" w:hAnsiTheme="minorHAnsi"/>
        </w:rPr>
        <w:t xml:space="preserve">przypadku którego oferowano by wsparcie o niskiej jakości. </w:t>
      </w:r>
    </w:p>
    <w:p w:rsidR="00C035CC" w:rsidRPr="003201C8" w:rsidRDefault="00C035CC" w:rsidP="00C035CC">
      <w:pPr>
        <w:rPr>
          <w:rFonts w:asciiTheme="minorHAnsi" w:hAnsiTheme="minorHAnsi"/>
        </w:rPr>
      </w:pPr>
      <w:r w:rsidRPr="003201C8">
        <w:rPr>
          <w:rFonts w:asciiTheme="minorHAnsi" w:hAnsiTheme="minorHAnsi"/>
        </w:rPr>
        <w:lastRenderedPageBreak/>
        <w:t>W ramach ewaluacji zbadano również, czy efekty wsparcia są zgodne z potrzebami uczestników wsparcia – respondenci ocenili tę zgodność średnio na 8,34 w skali od 1 do 10, co</w:t>
      </w:r>
      <w:r>
        <w:rPr>
          <w:rFonts w:asciiTheme="minorHAnsi" w:hAnsiTheme="minorHAnsi"/>
        </w:rPr>
        <w:t> </w:t>
      </w:r>
      <w:r w:rsidRPr="003201C8">
        <w:rPr>
          <w:rFonts w:asciiTheme="minorHAnsi" w:hAnsiTheme="minorHAnsi"/>
        </w:rPr>
        <w:t>świadczy</w:t>
      </w:r>
      <w:r>
        <w:rPr>
          <w:rFonts w:asciiTheme="minorHAnsi" w:hAnsiTheme="minorHAnsi"/>
        </w:rPr>
        <w:t> </w:t>
      </w:r>
      <w:r w:rsidRPr="003201C8">
        <w:rPr>
          <w:rFonts w:asciiTheme="minorHAnsi" w:hAnsiTheme="minorHAnsi"/>
        </w:rPr>
        <w:t>o</w:t>
      </w:r>
      <w:r>
        <w:rPr>
          <w:rFonts w:asciiTheme="minorHAnsi" w:hAnsiTheme="minorHAnsi"/>
        </w:rPr>
        <w:t> </w:t>
      </w:r>
      <w:r w:rsidRPr="003201C8">
        <w:rPr>
          <w:rFonts w:asciiTheme="minorHAnsi" w:hAnsiTheme="minorHAnsi"/>
        </w:rPr>
        <w:t xml:space="preserve">zgodności rezultatów wsparcia z potrzebami jego odbiorców. </w:t>
      </w:r>
    </w:p>
    <w:p w:rsidR="00C035CC" w:rsidRPr="003201C8" w:rsidRDefault="00C035CC" w:rsidP="00C035CC">
      <w:pPr>
        <w:rPr>
          <w:rFonts w:asciiTheme="minorHAnsi" w:hAnsiTheme="minorHAnsi"/>
        </w:rPr>
      </w:pPr>
      <w:r w:rsidRPr="003201C8">
        <w:rPr>
          <w:rFonts w:asciiTheme="minorHAnsi" w:hAnsiTheme="minorHAnsi"/>
        </w:rPr>
        <w:t>Do form wsparcia, które miały największy wpływ na poprawę sytuacji zawodowej uczestników projektów, należą kursy i szkolenia, doradztwo oraz doskonalenie zawodowe</w:t>
      </w:r>
      <w:r>
        <w:rPr>
          <w:rFonts w:asciiTheme="minorHAnsi" w:hAnsiTheme="minorHAnsi"/>
        </w:rPr>
        <w:t>.</w:t>
      </w:r>
      <w:r w:rsidRPr="003201C8">
        <w:rPr>
          <w:rFonts w:asciiTheme="minorHAnsi" w:hAnsiTheme="minorHAnsi"/>
        </w:rPr>
        <w:t xml:space="preserve"> Wsparcie to pozwoliło </w:t>
      </w:r>
      <w:r>
        <w:rPr>
          <w:rFonts w:asciiTheme="minorHAnsi" w:hAnsiTheme="minorHAnsi"/>
        </w:rPr>
        <w:t xml:space="preserve">odbiorcom wsparcia </w:t>
      </w:r>
      <w:r w:rsidRPr="003201C8">
        <w:rPr>
          <w:rFonts w:asciiTheme="minorHAnsi" w:hAnsiTheme="minorHAnsi"/>
        </w:rPr>
        <w:t>na poszerzenie wiedzy oraz zdobycie nowych umiejętności i kwalifikacji, co</w:t>
      </w:r>
      <w:r>
        <w:rPr>
          <w:rFonts w:asciiTheme="minorHAnsi" w:hAnsiTheme="minorHAnsi"/>
        </w:rPr>
        <w:t> </w:t>
      </w:r>
      <w:r w:rsidRPr="003201C8">
        <w:rPr>
          <w:rFonts w:asciiTheme="minorHAnsi" w:hAnsiTheme="minorHAnsi"/>
        </w:rPr>
        <w:t>z</w:t>
      </w:r>
      <w:r>
        <w:rPr>
          <w:rFonts w:asciiTheme="minorHAnsi" w:hAnsiTheme="minorHAnsi"/>
        </w:rPr>
        <w:t> </w:t>
      </w:r>
      <w:r w:rsidRPr="003201C8">
        <w:rPr>
          <w:rFonts w:asciiTheme="minorHAnsi" w:hAnsiTheme="minorHAnsi"/>
        </w:rPr>
        <w:t>kolei przełożyło się na uzyskanie wyższego wynagrodzenia i otrzymanie awansu bądź znalezienie lepszej pracy. Uczestnicy projektów realizowanych w ramach PI 9i (Działanie 9.1) wskazywali najczęściej na pozytywny wpływ usług aktywnej integracji, zaś uczestnicy projektów realizowanych w</w:t>
      </w:r>
      <w:r>
        <w:rPr>
          <w:rFonts w:asciiTheme="minorHAnsi" w:hAnsiTheme="minorHAnsi"/>
        </w:rPr>
        <w:t> </w:t>
      </w:r>
      <w:r w:rsidRPr="003201C8">
        <w:rPr>
          <w:rFonts w:asciiTheme="minorHAnsi" w:hAnsiTheme="minorHAnsi"/>
        </w:rPr>
        <w:t>ramach PI 9v (Działanie 9.3) na skuteczność wizyt studyjnych. Uczestnicy projektów realizowanych w ramach PI 8iv (Działanie 8.1) wskazywali najczęściej na pozytywny wpływ zapewnienia opieki nad</w:t>
      </w:r>
      <w:r>
        <w:rPr>
          <w:rFonts w:asciiTheme="minorHAnsi" w:hAnsiTheme="minorHAnsi"/>
        </w:rPr>
        <w:t> </w:t>
      </w:r>
      <w:r w:rsidRPr="003201C8">
        <w:rPr>
          <w:rFonts w:asciiTheme="minorHAnsi" w:hAnsiTheme="minorHAnsi"/>
        </w:rPr>
        <w:t xml:space="preserve">dziećmi, dzięki której nie musieli rezygnować z aktywności zawodowej, zaś uczestnicy projektów realizowanych w ramach PI 8vi (Działanie 8.2) wskazywali na uczestnictwo w programach zdrowotnych, które wpłynęły na poprawę stanu zdrowia fizycznego i psychicznego, a w rezultacie większą motywację do pracy. </w:t>
      </w:r>
    </w:p>
    <w:p w:rsidR="00C035CC" w:rsidRDefault="00C035CC" w:rsidP="00C035CC">
      <w:pPr>
        <w:pStyle w:val="normalny0"/>
        <w:spacing w:after="0"/>
      </w:pPr>
      <w:r w:rsidRPr="003201C8">
        <w:t>W przypadku 83,22% badanych uczestników uzyskane efekty wsparcia utrzymały się po</w:t>
      </w:r>
      <w:r>
        <w:t> </w:t>
      </w:r>
      <w:r w:rsidRPr="003201C8">
        <w:t>12</w:t>
      </w:r>
      <w:r>
        <w:t> </w:t>
      </w:r>
      <w:r w:rsidRPr="003201C8">
        <w:t>miesiącach lub więcej od zakończenia uczestnictwa w projekcie. Zmianę na lepsze w kwestii zawodowej po upływie 12 miesięcy wskazał co dziesiąty badany (10,32%), w tym najczęściej uczestnicy projektów realizowanych w ramach działania 9.2 oraz działania 9.1. Najczęściej wskazywaną zmianą był wzrost wysokości wynagrodzenia (63,41%), Blisko jedna piąta respondentów (19,51%) wskazał</w:t>
      </w:r>
      <w:r>
        <w:t>a</w:t>
      </w:r>
      <w:r w:rsidRPr="003201C8">
        <w:t xml:space="preserve"> na efekt w postaci zmiany formy umowy. Stanowisko lub miejsce pracy zmieniło 26,02% respondentów. </w:t>
      </w:r>
      <w:r w:rsidRPr="00007763">
        <w:t>Wyniki badania świadczą o tym, że wsparcie realizowane w ramach analizowanych Priorytetów Inwestycyjnych RPOWŚ 2014-2020 z całą pewnością cechuje się trwałością. Należy również zauważyć, iż istotny odsetek respondentów zaobserwował zmiany na</w:t>
      </w:r>
      <w:r>
        <w:t> </w:t>
      </w:r>
      <w:r w:rsidRPr="00007763">
        <w:t xml:space="preserve">lepsze, co świadczy o tym, iż nie można oceniać </w:t>
      </w:r>
      <w:r>
        <w:t>efektów interwencji</w:t>
      </w:r>
      <w:r w:rsidRPr="00007763">
        <w:t xml:space="preserve"> wyłącznie poprzez pryzmat efektów osiągniętych w okresie 6 miesięcy od zakończenia udziału we wsparciu – dzięki powiększeniu wiedzy i umiejętności oraz motywacji uczestników projektów ich sytuacja na rynku pracy ulega stopniowej poprawie, a pomoc uzyskana w ramach RPOWŚ 2014-2020 stanowi zachętę do dalszego rozwijania się.</w:t>
      </w:r>
    </w:p>
    <w:p w:rsidR="00E239FE" w:rsidRDefault="00E239FE" w:rsidP="003B7B06">
      <w:pPr>
        <w:spacing w:line="276" w:lineRule="auto"/>
        <w:jc w:val="left"/>
      </w:pPr>
    </w:p>
    <w:p w:rsidR="00E239FE" w:rsidRDefault="00E239FE" w:rsidP="003B7B06">
      <w:pPr>
        <w:spacing w:line="276" w:lineRule="auto"/>
        <w:jc w:val="left"/>
      </w:pPr>
    </w:p>
    <w:p w:rsidR="00C035CC" w:rsidRPr="003B7B06" w:rsidRDefault="00C035CC" w:rsidP="003B7B06">
      <w:pPr>
        <w:spacing w:line="276" w:lineRule="auto"/>
        <w:jc w:val="left"/>
      </w:pPr>
    </w:p>
    <w:sectPr w:rsidR="00C035CC" w:rsidRPr="003B7B06">
      <w:headerReference w:type="default" r:id="rId8"/>
      <w:footerReference w:type="default" r:id="rId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035CC" w:rsidRDefault="00C035CC" w:rsidP="00C035CC">
      <w:pPr>
        <w:spacing w:line="240" w:lineRule="auto"/>
      </w:pPr>
      <w:r>
        <w:separator/>
      </w:r>
    </w:p>
  </w:endnote>
  <w:endnote w:type="continuationSeparator" w:id="0">
    <w:p w:rsidR="00C035CC" w:rsidRDefault="00C035CC" w:rsidP="00C035C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8327051"/>
      <w:docPartObj>
        <w:docPartGallery w:val="Page Numbers (Bottom of Page)"/>
        <w:docPartUnique/>
      </w:docPartObj>
    </w:sdtPr>
    <w:sdtEndPr/>
    <w:sdtContent>
      <w:p w:rsidR="003B7B06" w:rsidRDefault="003B7B06">
        <w:pPr>
          <w:pStyle w:val="Stopka"/>
          <w:jc w:val="right"/>
        </w:pPr>
        <w:r>
          <w:fldChar w:fldCharType="begin"/>
        </w:r>
        <w:r>
          <w:instrText>PAGE   \* MERGEFORMAT</w:instrText>
        </w:r>
        <w:r>
          <w:fldChar w:fldCharType="separate"/>
        </w:r>
        <w:r>
          <w:t>2</w:t>
        </w:r>
        <w:r>
          <w:fldChar w:fldCharType="end"/>
        </w:r>
      </w:p>
    </w:sdtContent>
  </w:sdt>
  <w:p w:rsidR="003B7B06" w:rsidRDefault="003B7B06">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035CC" w:rsidRDefault="00C035CC" w:rsidP="00C035CC">
      <w:pPr>
        <w:spacing w:line="240" w:lineRule="auto"/>
      </w:pPr>
      <w:r>
        <w:separator/>
      </w:r>
    </w:p>
  </w:footnote>
  <w:footnote w:type="continuationSeparator" w:id="0">
    <w:p w:rsidR="00C035CC" w:rsidRDefault="00C035CC" w:rsidP="00C035CC">
      <w:pPr>
        <w:spacing w:line="240" w:lineRule="auto"/>
      </w:pPr>
      <w:r>
        <w:continuationSeparator/>
      </w:r>
    </w:p>
  </w:footnote>
  <w:footnote w:id="1">
    <w:p w:rsidR="00C035CC" w:rsidRPr="005F16C5" w:rsidRDefault="00C035CC" w:rsidP="00C035CC">
      <w:pPr>
        <w:pStyle w:val="Tekstprzypisudolnego"/>
        <w:rPr>
          <w:rFonts w:asciiTheme="minorHAnsi" w:hAnsiTheme="minorHAnsi"/>
        </w:rPr>
      </w:pPr>
      <w:r w:rsidRPr="005F16C5">
        <w:rPr>
          <w:rStyle w:val="Odwoanieprzypisudolnego"/>
          <w:rFonts w:asciiTheme="minorHAnsi" w:hAnsiTheme="minorHAnsi"/>
        </w:rPr>
        <w:footnoteRef/>
      </w:r>
      <w:r w:rsidRPr="005F16C5">
        <w:rPr>
          <w:rFonts w:asciiTheme="minorHAnsi" w:hAnsiTheme="minorHAnsi"/>
        </w:rPr>
        <w:t xml:space="preserve"> Regionalny Program Operacyjny Województwa Świętokrzyskiego na lata 2014-2020, s. 158.</w:t>
      </w:r>
    </w:p>
  </w:footnote>
  <w:footnote w:id="2">
    <w:p w:rsidR="00C035CC" w:rsidRDefault="00C035CC" w:rsidP="00C035CC">
      <w:pPr>
        <w:pStyle w:val="Tekstprzypisudolnego"/>
      </w:pPr>
      <w:r>
        <w:rPr>
          <w:rStyle w:val="Odwoanieprzypisudolnego"/>
        </w:rPr>
        <w:footnoteRef/>
      </w:r>
      <w:r>
        <w:t xml:space="preserve"> </w:t>
      </w:r>
      <w:r w:rsidRPr="009B3B39">
        <w:rPr>
          <w:rFonts w:asciiTheme="minorHAnsi" w:hAnsiTheme="minorHAnsi" w:cstheme="minorHAnsi"/>
        </w:rPr>
        <w:t>Do określenia wartości brutto nie są brane pod uwagę subiektywne oceny wpływu wsparcia na</w:t>
      </w:r>
      <w:r>
        <w:rPr>
          <w:rFonts w:asciiTheme="minorHAnsi" w:hAnsiTheme="minorHAnsi" w:cstheme="minorHAnsi"/>
        </w:rPr>
        <w:t xml:space="preserve"> zmianę sytuacji na rynku pracy, natomiast b</w:t>
      </w:r>
      <w:r w:rsidRPr="009B3B39">
        <w:rPr>
          <w:rFonts w:asciiTheme="minorHAnsi" w:hAnsiTheme="minorHAnsi" w:cstheme="minorHAnsi"/>
        </w:rPr>
        <w:t>y obliczyć wartość netto w analizie odpowiedzi uwzględnia się subiektywną ocenę wpływu wsparcia.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0194D" w:rsidRDefault="0030194D">
    <w:pPr>
      <w:pStyle w:val="Nagwek"/>
    </w:pPr>
    <w:r>
      <w:rPr>
        <w:noProof/>
        <w:lang w:eastAsia="pl-PL"/>
      </w:rPr>
      <w:drawing>
        <wp:inline distT="0" distB="0" distL="0" distR="0" wp14:anchorId="5E345D21" wp14:editId="19E5937B">
          <wp:extent cx="5759450" cy="487680"/>
          <wp:effectExtent l="0" t="0" r="0" b="762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FSI  kolor.jpg"/>
                  <pic:cNvPicPr/>
                </pic:nvPicPr>
                <pic:blipFill>
                  <a:blip r:embed="rId1">
                    <a:extLst>
                      <a:ext uri="{28A0092B-C50C-407E-A947-70E740481C1C}">
                        <a14:useLocalDpi xmlns:a14="http://schemas.microsoft.com/office/drawing/2010/main" val="0"/>
                      </a:ext>
                    </a:extLst>
                  </a:blip>
                  <a:stretch>
                    <a:fillRect/>
                  </a:stretch>
                </pic:blipFill>
                <pic:spPr>
                  <a:xfrm>
                    <a:off x="0" y="0"/>
                    <a:ext cx="5759450" cy="487680"/>
                  </a:xfrm>
                  <a:prstGeom prst="rect">
                    <a:avLst/>
                  </a:prstGeom>
                </pic:spPr>
              </pic:pic>
            </a:graphicData>
          </a:graphic>
        </wp:inline>
      </w:drawing>
    </w:r>
  </w:p>
  <w:p w:rsidR="0030194D" w:rsidRDefault="0030194D">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368329C"/>
    <w:multiLevelType w:val="hybridMultilevel"/>
    <w:tmpl w:val="7D467FC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754363C5"/>
    <w:multiLevelType w:val="hybridMultilevel"/>
    <w:tmpl w:val="8EDCFF4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fullPage" w:percent="72"/>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035CC"/>
    <w:rsid w:val="00012E7A"/>
    <w:rsid w:val="0030194D"/>
    <w:rsid w:val="003B7B06"/>
    <w:rsid w:val="00AA43EA"/>
    <w:rsid w:val="00C035CC"/>
    <w:rsid w:val="00DF3EBB"/>
    <w:rsid w:val="00E239F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A16D8369-B398-4933-8A6A-31D551D93B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C035CC"/>
    <w:pPr>
      <w:spacing w:after="0" w:line="360" w:lineRule="auto"/>
      <w:jc w:val="both"/>
    </w:pPr>
    <w:rPr>
      <w:rFonts w:ascii="Calibri" w:hAnsi="Calibri"/>
    </w:rPr>
  </w:style>
  <w:style w:type="paragraph" w:styleId="Nagwek1">
    <w:name w:val="heading 1"/>
    <w:basedOn w:val="Normalny"/>
    <w:next w:val="Normalny"/>
    <w:link w:val="Nagwek1Znak"/>
    <w:uiPriority w:val="9"/>
    <w:qFormat/>
    <w:rsid w:val="00C035CC"/>
    <w:pPr>
      <w:keepNext/>
      <w:keepLines/>
      <w:spacing w:after="240"/>
      <w:outlineLvl w:val="0"/>
    </w:pPr>
    <w:rPr>
      <w:rFonts w:asciiTheme="minorHAnsi" w:eastAsiaTheme="majorEastAsia" w:hAnsiTheme="minorHAnsi" w:cstheme="majorBidi"/>
      <w:b/>
      <w:bCs/>
      <w:color w:val="002060"/>
      <w:sz w:val="28"/>
      <w:szCs w:val="2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C035CC"/>
    <w:rPr>
      <w:rFonts w:eastAsiaTheme="majorEastAsia" w:cstheme="majorBidi"/>
      <w:b/>
      <w:bCs/>
      <w:color w:val="002060"/>
      <w:sz w:val="28"/>
      <w:szCs w:val="28"/>
    </w:rPr>
  </w:style>
  <w:style w:type="paragraph" w:styleId="Akapitzlist">
    <w:name w:val="List Paragraph"/>
    <w:aliases w:val="Numerowanie,List Paragraph,lp1,List Paragraph2,Akapit z listą 1,A_wyliczenie,K-P_odwolanie,Akapit z listą5,maz_wyliczenie,opis dzialania,Akapit z listą BS,BulletC,L1"/>
    <w:basedOn w:val="Normalny"/>
    <w:link w:val="AkapitzlistZnak"/>
    <w:uiPriority w:val="34"/>
    <w:qFormat/>
    <w:rsid w:val="00C035CC"/>
    <w:pPr>
      <w:ind w:left="720"/>
      <w:contextualSpacing/>
    </w:pPr>
  </w:style>
  <w:style w:type="paragraph" w:styleId="Tekstprzypisudolnego">
    <w:name w:val="footnote text"/>
    <w:aliases w:val="Tekst przypisu,Podrozdział,Footnote,Podrozdzia3,Tekst przypisu Znak Znak Znak Znak,Tekst przypisu Znak Znak Znak Znak Znak,Tekst przypisu Znak Znak Znak Znak Znak Znak Znak,Tekst przypisu Znak Znak Znak Znak Znak Znak Znak Znak Zn"/>
    <w:basedOn w:val="Normalny"/>
    <w:link w:val="TekstprzypisudolnegoZnak"/>
    <w:unhideWhenUsed/>
    <w:qFormat/>
    <w:rsid w:val="00C035CC"/>
    <w:pPr>
      <w:spacing w:line="240" w:lineRule="auto"/>
    </w:pPr>
    <w:rPr>
      <w:sz w:val="20"/>
      <w:szCs w:val="20"/>
    </w:rPr>
  </w:style>
  <w:style w:type="character" w:customStyle="1" w:styleId="TekstprzypisudolnegoZnak">
    <w:name w:val="Tekst przypisu dolnego Znak"/>
    <w:aliases w:val="Tekst przypisu Znak,Podrozdział Znak,Footnote Znak,Podrozdzia3 Znak,Tekst przypisu Znak Znak Znak Znak Znak1,Tekst przypisu Znak Znak Znak Znak Znak Znak,Tekst przypisu Znak Znak Znak Znak Znak Znak Znak Znak"/>
    <w:basedOn w:val="Domylnaczcionkaakapitu"/>
    <w:link w:val="Tekstprzypisudolnego"/>
    <w:qFormat/>
    <w:rsid w:val="00C035CC"/>
    <w:rPr>
      <w:rFonts w:ascii="Calibri" w:hAnsi="Calibri"/>
      <w:sz w:val="20"/>
      <w:szCs w:val="20"/>
    </w:rPr>
  </w:style>
  <w:style w:type="character" w:styleId="Odwoanieprzypisudolnego">
    <w:name w:val="footnote reference"/>
    <w:aliases w:val="Odwołanie przypisu,Footnote Reference Number,Footnote symbol,Footnote reference number,note TESI,SUPERS,EN Footnote Reference,Footnote Reference_LVL6,Footnote Reference_LVL61,Footnote Reference_LVL62,Footnote Reference_LVL63"/>
    <w:basedOn w:val="Domylnaczcionkaakapitu"/>
    <w:uiPriority w:val="99"/>
    <w:unhideWhenUsed/>
    <w:qFormat/>
    <w:rsid w:val="00C035CC"/>
    <w:rPr>
      <w:vertAlign w:val="superscript"/>
    </w:rPr>
  </w:style>
  <w:style w:type="character" w:customStyle="1" w:styleId="AkapitzlistZnak">
    <w:name w:val="Akapit z listą Znak"/>
    <w:aliases w:val="Numerowanie Znak,List Paragraph Znak,lp1 Znak,List Paragraph2 Znak,Akapit z listą 1 Znak,A_wyliczenie Znak,K-P_odwolanie Znak,Akapit z listą5 Znak,maz_wyliczenie Znak,opis dzialania Znak,Akapit z listą BS Znak,BulletC Znak,L1 Znak"/>
    <w:basedOn w:val="Domylnaczcionkaakapitu"/>
    <w:link w:val="Akapitzlist"/>
    <w:uiPriority w:val="34"/>
    <w:qFormat/>
    <w:locked/>
    <w:rsid w:val="00C035CC"/>
    <w:rPr>
      <w:rFonts w:ascii="Calibri" w:hAnsi="Calibri"/>
    </w:rPr>
  </w:style>
  <w:style w:type="character" w:customStyle="1" w:styleId="normalnyZnak">
    <w:name w:val="normalny Znak"/>
    <w:basedOn w:val="Domylnaczcionkaakapitu"/>
    <w:link w:val="normalny0"/>
    <w:uiPriority w:val="99"/>
    <w:locked/>
    <w:rsid w:val="00C035CC"/>
  </w:style>
  <w:style w:type="paragraph" w:customStyle="1" w:styleId="normalny0">
    <w:name w:val="normalny"/>
    <w:basedOn w:val="Normalny"/>
    <w:link w:val="normalnyZnak"/>
    <w:uiPriority w:val="99"/>
    <w:qFormat/>
    <w:rsid w:val="00C035CC"/>
    <w:pPr>
      <w:spacing w:after="240"/>
    </w:pPr>
    <w:rPr>
      <w:rFonts w:asciiTheme="minorHAnsi" w:hAnsiTheme="minorHAnsi"/>
    </w:rPr>
  </w:style>
  <w:style w:type="paragraph" w:styleId="Nagwek">
    <w:name w:val="header"/>
    <w:basedOn w:val="Normalny"/>
    <w:link w:val="NagwekZnak"/>
    <w:uiPriority w:val="99"/>
    <w:unhideWhenUsed/>
    <w:rsid w:val="003B7B06"/>
    <w:pPr>
      <w:tabs>
        <w:tab w:val="center" w:pos="4536"/>
        <w:tab w:val="right" w:pos="9072"/>
      </w:tabs>
      <w:spacing w:line="240" w:lineRule="auto"/>
    </w:pPr>
  </w:style>
  <w:style w:type="character" w:customStyle="1" w:styleId="NagwekZnak">
    <w:name w:val="Nagłówek Znak"/>
    <w:basedOn w:val="Domylnaczcionkaakapitu"/>
    <w:link w:val="Nagwek"/>
    <w:uiPriority w:val="99"/>
    <w:rsid w:val="003B7B06"/>
    <w:rPr>
      <w:rFonts w:ascii="Calibri" w:hAnsi="Calibri"/>
    </w:rPr>
  </w:style>
  <w:style w:type="paragraph" w:styleId="Stopka">
    <w:name w:val="footer"/>
    <w:basedOn w:val="Normalny"/>
    <w:link w:val="StopkaZnak"/>
    <w:uiPriority w:val="99"/>
    <w:unhideWhenUsed/>
    <w:rsid w:val="003B7B06"/>
    <w:pPr>
      <w:tabs>
        <w:tab w:val="center" w:pos="4536"/>
        <w:tab w:val="right" w:pos="9072"/>
      </w:tabs>
      <w:spacing w:line="240" w:lineRule="auto"/>
    </w:pPr>
  </w:style>
  <w:style w:type="character" w:customStyle="1" w:styleId="StopkaZnak">
    <w:name w:val="Stopka Znak"/>
    <w:basedOn w:val="Domylnaczcionkaakapitu"/>
    <w:link w:val="Stopka"/>
    <w:uiPriority w:val="99"/>
    <w:rsid w:val="003B7B06"/>
    <w:rPr>
      <w:rFonts w:ascii="Calibri" w:hAnsi="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9E81BA-377A-491E-A055-39BA8C5E29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4</Pages>
  <Words>1537</Words>
  <Characters>9224</Characters>
  <Application>Microsoft Office Word</Application>
  <DocSecurity>0</DocSecurity>
  <Lines>76</Lines>
  <Paragraphs>21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10740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Jas, Monika</dc:creator>
  <cp:keywords/>
  <dc:description/>
  <cp:lastModifiedBy>Jas, Monika</cp:lastModifiedBy>
  <cp:revision>4</cp:revision>
  <dcterms:created xsi:type="dcterms:W3CDTF">2019-05-28T10:58:00Z</dcterms:created>
  <dcterms:modified xsi:type="dcterms:W3CDTF">2019-06-27T11:15:00Z</dcterms:modified>
</cp:coreProperties>
</file>